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1C0" w:rsidRPr="004851C0" w:rsidRDefault="004851C0" w:rsidP="0031464C">
      <w:pPr>
        <w:keepNext/>
        <w:spacing w:after="0" w:line="240" w:lineRule="auto"/>
        <w:jc w:val="center"/>
        <w:outlineLvl w:val="7"/>
        <w:rPr>
          <w:rFonts w:ascii="Cambria" w:eastAsia="Times New Roman" w:hAnsi="Cambria" w:cs="Times New Roman"/>
          <w:b/>
          <w:sz w:val="20"/>
          <w:szCs w:val="20"/>
          <w:lang w:val="es-ES_tradnl" w:eastAsia="es-ES"/>
        </w:rPr>
      </w:pPr>
      <w:bookmarkStart w:id="0" w:name="_GoBack"/>
      <w:bookmarkEnd w:id="0"/>
      <w:r w:rsidRPr="004851C0">
        <w:rPr>
          <w:rFonts w:ascii="Cambria" w:eastAsia="Times New Roman" w:hAnsi="Cambria" w:cs="Times New Roman"/>
          <w:b/>
          <w:sz w:val="20"/>
          <w:szCs w:val="20"/>
          <w:lang w:val="es-ES_tradnl" w:eastAsia="es-ES"/>
        </w:rPr>
        <w:t>“XXXXXXXXXXXXXXXXXXXXXXX”</w:t>
      </w:r>
    </w:p>
    <w:p w:rsidR="004851C0" w:rsidRPr="004851C0" w:rsidRDefault="004851C0" w:rsidP="004851C0">
      <w:pPr>
        <w:pBdr>
          <w:bottom w:val="single" w:sz="4" w:space="1" w:color="auto"/>
        </w:pBdr>
        <w:spacing w:after="0" w:line="240" w:lineRule="auto"/>
        <w:jc w:val="center"/>
        <w:rPr>
          <w:rFonts w:ascii="Cambria" w:eastAsia="Times New Roman" w:hAnsi="Cambria" w:cs="Times New Roman"/>
          <w:sz w:val="20"/>
          <w:szCs w:val="20"/>
          <w:lang w:val="es-ES_tradnl" w:eastAsia="es-ES"/>
        </w:rPr>
      </w:pPr>
      <w:r w:rsidRPr="004851C0">
        <w:rPr>
          <w:rFonts w:ascii="Cambria" w:eastAsia="Times New Roman" w:hAnsi="Cambria" w:cs="Times New Roman"/>
          <w:sz w:val="20"/>
          <w:szCs w:val="20"/>
          <w:lang w:val="es-ES_tradnl" w:eastAsia="es-ES"/>
        </w:rPr>
        <w:t>FINALIZADO EL: XX de Noviembre de XXXX</w:t>
      </w:r>
    </w:p>
    <w:p w:rsidR="004851C0" w:rsidRPr="004851C0" w:rsidRDefault="004851C0" w:rsidP="004851C0">
      <w:pPr>
        <w:spacing w:after="0" w:line="240" w:lineRule="auto"/>
        <w:jc w:val="both"/>
        <w:rPr>
          <w:rFonts w:ascii="Cambria" w:eastAsia="Times New Roman" w:hAnsi="Cambria" w:cs="Times New Roman"/>
          <w:b/>
          <w:sz w:val="20"/>
          <w:szCs w:val="20"/>
          <w:lang w:val="es-ES_tradnl" w:eastAsia="es-ES"/>
        </w:rPr>
      </w:pPr>
    </w:p>
    <w:p w:rsidR="004851C0" w:rsidRPr="0031464C" w:rsidRDefault="004851C0" w:rsidP="004851C0">
      <w:pPr>
        <w:keepNext/>
        <w:spacing w:after="0" w:line="240" w:lineRule="auto"/>
        <w:jc w:val="both"/>
        <w:outlineLvl w:val="7"/>
        <w:rPr>
          <w:rFonts w:ascii="Cambria" w:eastAsia="Times New Roman" w:hAnsi="Cambria" w:cs="Times New Roman"/>
          <w:b/>
          <w:smallCaps/>
          <w:sz w:val="20"/>
          <w:szCs w:val="20"/>
          <w:u w:val="single"/>
          <w:lang w:val="es-ES_tradnl" w:eastAsia="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31464C">
        <w:rPr>
          <w:rFonts w:ascii="Cambria" w:eastAsia="Times New Roman" w:hAnsi="Cambria" w:cs="Times New Roman"/>
          <w:b/>
          <w:smallCaps/>
          <w:sz w:val="20"/>
          <w:szCs w:val="20"/>
          <w:u w:val="single"/>
          <w:lang w:val="es-ES_tradnl" w:eastAsia="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BASE DE PREPARACIÓN DE LOS ESTADOS CONTABLES</w:t>
      </w:r>
    </w:p>
    <w:p w:rsidR="004851C0" w:rsidRPr="004851C0" w:rsidRDefault="004851C0" w:rsidP="004851C0">
      <w:pPr>
        <w:keepNext/>
        <w:spacing w:after="0" w:line="240" w:lineRule="auto"/>
        <w:jc w:val="both"/>
        <w:outlineLvl w:val="7"/>
        <w:rPr>
          <w:rFonts w:ascii="Cambria" w:eastAsia="Times New Roman" w:hAnsi="Cambria" w:cs="Times New Roman"/>
          <w:b/>
          <w:sz w:val="20"/>
          <w:szCs w:val="20"/>
          <w:lang w:val="es-ES_tradnl" w:eastAsia="es-ES"/>
        </w:rPr>
      </w:pPr>
      <w:r w:rsidRPr="004851C0">
        <w:rPr>
          <w:rFonts w:ascii="Cambria" w:eastAsia="Times New Roman" w:hAnsi="Cambria" w:cs="Times New Roman"/>
          <w:b/>
          <w:sz w:val="20"/>
          <w:szCs w:val="20"/>
          <w:lang w:val="es-ES_tradnl" w:eastAsia="es-ES"/>
        </w:rPr>
        <w:t xml:space="preserve"> </w:t>
      </w:r>
    </w:p>
    <w:p w:rsidR="004851C0" w:rsidRPr="004851C0" w:rsidRDefault="004851C0" w:rsidP="004851C0">
      <w:pPr>
        <w:spacing w:after="0" w:line="240" w:lineRule="auto"/>
        <w:jc w:val="both"/>
        <w:rPr>
          <w:rFonts w:ascii="Cambria" w:eastAsia="Times New Roman" w:hAnsi="Cambria" w:cs="Times New Roman"/>
          <w:b/>
          <w:sz w:val="20"/>
          <w:szCs w:val="20"/>
          <w:lang w:val="es-ES_tradnl" w:eastAsia="es-ES"/>
        </w:rPr>
      </w:pPr>
      <w:r w:rsidRPr="004851C0">
        <w:rPr>
          <w:rFonts w:ascii="Cambria" w:eastAsia="Times New Roman" w:hAnsi="Cambria" w:cs="Times New Roman"/>
          <w:b/>
          <w:sz w:val="20"/>
          <w:szCs w:val="20"/>
          <w:lang w:val="es-ES_tradnl" w:eastAsia="es-ES"/>
        </w:rPr>
        <w:t>NORMAS CONTABLES</w:t>
      </w:r>
    </w:p>
    <w:p w:rsidR="004851C0" w:rsidRPr="004851C0" w:rsidRDefault="004851C0" w:rsidP="004851C0">
      <w:pPr>
        <w:spacing w:after="0" w:line="240" w:lineRule="auto"/>
        <w:jc w:val="both"/>
        <w:rPr>
          <w:rFonts w:ascii="Cambria" w:eastAsia="Times New Roman" w:hAnsi="Cambria" w:cs="Times New Roman"/>
          <w:sz w:val="20"/>
          <w:szCs w:val="20"/>
          <w:lang w:val="es-ES_tradnl" w:eastAsia="es-ES"/>
        </w:rPr>
      </w:pPr>
      <w:r w:rsidRPr="004851C0">
        <w:rPr>
          <w:rFonts w:ascii="Cambria" w:eastAsia="Times New Roman" w:hAnsi="Cambria" w:cs="Times New Roman"/>
          <w:sz w:val="20"/>
          <w:szCs w:val="20"/>
          <w:lang w:val="es-ES_tradnl" w:eastAsia="es-ES"/>
        </w:rPr>
        <w:t xml:space="preserve">Los presentes estados contables están expresados en pesos, y fueron confeccionados de acuerdo con Normas Contables Profesionales Argentinas de reconocimiento, medición y exposición conforme han sido aprobadas y reglamentadas por el Consejo Profesional de Ciencias Económicas de </w:t>
      </w:r>
      <w:smartTag w:uri="urn:schemas-microsoft-com:office:smarttags" w:element="PersonName">
        <w:smartTagPr>
          <w:attr w:name="ProductID" w:val="la Provincia"/>
        </w:smartTagPr>
        <w:r w:rsidRPr="004851C0">
          <w:rPr>
            <w:rFonts w:ascii="Cambria" w:eastAsia="Times New Roman" w:hAnsi="Cambria" w:cs="Times New Roman"/>
            <w:sz w:val="20"/>
            <w:szCs w:val="20"/>
            <w:lang w:val="es-ES_tradnl" w:eastAsia="es-ES"/>
          </w:rPr>
          <w:t>la Provincia</w:t>
        </w:r>
      </w:smartTag>
      <w:r w:rsidRPr="004851C0">
        <w:rPr>
          <w:rFonts w:ascii="Cambria" w:eastAsia="Times New Roman" w:hAnsi="Cambria" w:cs="Times New Roman"/>
          <w:sz w:val="20"/>
          <w:szCs w:val="20"/>
          <w:lang w:val="es-ES_tradnl" w:eastAsia="es-ES"/>
        </w:rPr>
        <w:t xml:space="preserve"> de Corrientes.</w:t>
      </w:r>
    </w:p>
    <w:p w:rsidR="004851C0" w:rsidRPr="004851C0" w:rsidRDefault="004851C0" w:rsidP="004851C0">
      <w:pPr>
        <w:spacing w:after="0" w:line="240" w:lineRule="auto"/>
        <w:jc w:val="both"/>
        <w:rPr>
          <w:rFonts w:ascii="Cambria" w:eastAsia="Times New Roman" w:hAnsi="Cambria" w:cs="Times New Roman"/>
          <w:sz w:val="20"/>
          <w:szCs w:val="20"/>
          <w:lang w:val="es-ES_tradnl" w:eastAsia="es-ES"/>
        </w:rPr>
      </w:pPr>
    </w:p>
    <w:p w:rsidR="004851C0" w:rsidRPr="004851C0" w:rsidRDefault="004851C0" w:rsidP="004851C0">
      <w:pPr>
        <w:spacing w:after="0" w:line="240" w:lineRule="auto"/>
        <w:jc w:val="both"/>
        <w:rPr>
          <w:rFonts w:ascii="Cambria" w:eastAsia="Times New Roman" w:hAnsi="Cambria" w:cs="Times New Roman"/>
          <w:b/>
          <w:sz w:val="20"/>
          <w:szCs w:val="20"/>
          <w:lang w:val="es-ES_tradnl" w:eastAsia="es-ES"/>
        </w:rPr>
      </w:pPr>
      <w:r w:rsidRPr="004851C0">
        <w:rPr>
          <w:rFonts w:ascii="Cambria" w:eastAsia="Times New Roman" w:hAnsi="Cambria" w:cs="Times New Roman"/>
          <w:b/>
          <w:sz w:val="20"/>
          <w:szCs w:val="20"/>
          <w:lang w:val="es-ES_tradnl" w:eastAsia="es-ES"/>
        </w:rPr>
        <w:t>Consideración de los efectos de la inflación:</w:t>
      </w:r>
    </w:p>
    <w:p w:rsidR="004851C0" w:rsidRPr="004851C0" w:rsidRDefault="004851C0" w:rsidP="004851C0">
      <w:pPr>
        <w:spacing w:after="0" w:line="240" w:lineRule="auto"/>
        <w:jc w:val="both"/>
        <w:rPr>
          <w:rFonts w:ascii="Cambria" w:eastAsia="Times New Roman" w:hAnsi="Cambria" w:cs="Arial"/>
          <w:sz w:val="20"/>
          <w:szCs w:val="20"/>
          <w:lang w:val="es-ES_tradnl" w:eastAsia="es-ES"/>
        </w:rPr>
      </w:pPr>
      <w:r w:rsidRPr="004851C0">
        <w:rPr>
          <w:rFonts w:ascii="Cambria" w:eastAsia="Times New Roman" w:hAnsi="Cambria" w:cs="Arial"/>
          <w:sz w:val="20"/>
          <w:szCs w:val="20"/>
          <w:lang w:val="es-ES_tradnl" w:eastAsia="es-ES"/>
        </w:rPr>
        <w:t>Las normas contables profesionales establecen que los estados contables deben expresarse en moneda homogénea, según los parámetros establecidos por la</w:t>
      </w:r>
      <w:r w:rsidR="00CA657F">
        <w:rPr>
          <w:rFonts w:ascii="Cambria" w:eastAsia="Times New Roman" w:hAnsi="Cambria" w:cs="Arial"/>
          <w:sz w:val="20"/>
          <w:szCs w:val="20"/>
          <w:lang w:val="es-ES_tradnl" w:eastAsia="es-ES"/>
        </w:rPr>
        <w:t xml:space="preserve"> Sección 2.6 de </w:t>
      </w:r>
      <w:r w:rsidR="00E67304">
        <w:rPr>
          <w:rFonts w:ascii="Cambria" w:eastAsia="Times New Roman" w:hAnsi="Cambria" w:cs="Arial"/>
          <w:sz w:val="20"/>
          <w:szCs w:val="20"/>
          <w:lang w:val="es-ES_tradnl" w:eastAsia="es-ES"/>
        </w:rPr>
        <w:t xml:space="preserve">la </w:t>
      </w:r>
      <w:r w:rsidR="00E67304" w:rsidRPr="004851C0">
        <w:rPr>
          <w:rFonts w:ascii="Cambria" w:eastAsia="Times New Roman" w:hAnsi="Cambria" w:cs="Arial"/>
          <w:sz w:val="20"/>
          <w:szCs w:val="20"/>
          <w:lang w:val="es-ES_tradnl" w:eastAsia="es-ES"/>
        </w:rPr>
        <w:t>Resolución</w:t>
      </w:r>
      <w:r w:rsidRPr="004851C0">
        <w:rPr>
          <w:rFonts w:ascii="Cambria" w:eastAsia="Times New Roman" w:hAnsi="Cambria" w:cs="Arial"/>
          <w:sz w:val="20"/>
          <w:szCs w:val="20"/>
          <w:lang w:val="es-ES_tradnl" w:eastAsia="es-ES"/>
        </w:rPr>
        <w:t xml:space="preserve"> Técnica N° </w:t>
      </w:r>
      <w:r w:rsidR="00C83928">
        <w:rPr>
          <w:rFonts w:ascii="Cambria" w:eastAsia="Times New Roman" w:hAnsi="Cambria" w:cs="Arial"/>
          <w:sz w:val="20"/>
          <w:szCs w:val="20"/>
          <w:lang w:val="es-ES_tradnl" w:eastAsia="es-ES"/>
        </w:rPr>
        <w:t>41</w:t>
      </w:r>
      <w:r w:rsidRPr="004851C0">
        <w:rPr>
          <w:rFonts w:ascii="Cambria" w:eastAsia="Times New Roman" w:hAnsi="Cambria" w:cs="Arial"/>
          <w:sz w:val="20"/>
          <w:szCs w:val="20"/>
          <w:lang w:val="es-ES_tradnl" w:eastAsia="es-ES"/>
        </w:rPr>
        <w:t xml:space="preserve">, </w:t>
      </w:r>
      <w:r w:rsidR="00CA657F">
        <w:rPr>
          <w:rFonts w:ascii="Cambria" w:eastAsia="Times New Roman" w:hAnsi="Cambria" w:cs="Arial"/>
          <w:sz w:val="20"/>
          <w:szCs w:val="20"/>
          <w:lang w:val="es-ES_tradnl" w:eastAsia="es-ES"/>
        </w:rPr>
        <w:t>aprobadas por la Resolución</w:t>
      </w:r>
      <w:r w:rsidRPr="004851C0">
        <w:rPr>
          <w:rFonts w:ascii="Cambria" w:eastAsia="Times New Roman" w:hAnsi="Cambria" w:cs="Arial"/>
          <w:sz w:val="20"/>
          <w:szCs w:val="20"/>
          <w:lang w:val="es-ES_tradnl" w:eastAsia="es-ES"/>
        </w:rPr>
        <w:t xml:space="preserve"> Nros.</w:t>
      </w:r>
      <w:r w:rsidR="00C83928">
        <w:rPr>
          <w:rFonts w:ascii="Cambria" w:eastAsia="Times New Roman" w:hAnsi="Cambria" w:cs="Arial"/>
          <w:sz w:val="20"/>
          <w:szCs w:val="20"/>
          <w:lang w:val="es-ES_tradnl" w:eastAsia="es-ES"/>
        </w:rPr>
        <w:t>1379</w:t>
      </w:r>
      <w:r w:rsidRPr="004851C0">
        <w:rPr>
          <w:rFonts w:ascii="Cambria" w:eastAsia="Times New Roman" w:hAnsi="Cambria" w:cs="Arial"/>
          <w:sz w:val="20"/>
          <w:szCs w:val="20"/>
          <w:lang w:val="es-ES_tradnl" w:eastAsia="es-ES"/>
        </w:rPr>
        <w:t>/</w:t>
      </w:r>
      <w:r w:rsidR="00C83928">
        <w:rPr>
          <w:rFonts w:ascii="Cambria" w:eastAsia="Times New Roman" w:hAnsi="Cambria" w:cs="Arial"/>
          <w:sz w:val="20"/>
          <w:szCs w:val="20"/>
          <w:lang w:val="es-ES_tradnl" w:eastAsia="es-ES"/>
        </w:rPr>
        <w:t>15</w:t>
      </w:r>
      <w:r w:rsidRPr="004851C0">
        <w:rPr>
          <w:rFonts w:ascii="Cambria" w:eastAsia="Times New Roman" w:hAnsi="Cambria" w:cs="Arial"/>
          <w:sz w:val="20"/>
          <w:szCs w:val="20"/>
          <w:lang w:val="es-ES_tradnl" w:eastAsia="es-ES"/>
        </w:rPr>
        <w:t xml:space="preserve">, del Consejo profesional de Ciencias Económicas de Corrientes respectivamente. </w:t>
      </w:r>
    </w:p>
    <w:p w:rsidR="004851C0" w:rsidRPr="004851C0" w:rsidRDefault="004851C0" w:rsidP="004851C0">
      <w:pPr>
        <w:spacing w:after="0" w:line="240" w:lineRule="auto"/>
        <w:jc w:val="both"/>
        <w:rPr>
          <w:rFonts w:ascii="Cambria" w:eastAsia="Times New Roman" w:hAnsi="Cambria" w:cs="Arial"/>
          <w:sz w:val="20"/>
          <w:szCs w:val="20"/>
          <w:lang w:val="es-ES_tradnl" w:eastAsia="es-ES"/>
        </w:rPr>
      </w:pPr>
      <w:r w:rsidRPr="004851C0">
        <w:rPr>
          <w:rFonts w:ascii="Cambria" w:eastAsia="Times New Roman" w:hAnsi="Cambria" w:cs="Arial"/>
          <w:sz w:val="20"/>
          <w:szCs w:val="20"/>
          <w:lang w:val="es-ES_tradnl" w:eastAsia="es-ES"/>
        </w:rPr>
        <w:t xml:space="preserve">En un contexto de estabilidad monetaria, se utilizará como moneda homogénea a la moneda nominal. En un contexto de inflación, los estados contables deben expresarse en moneda de poder adquisitivo de la fecha a la cual corresponden. A este efecto deben aplicarse las normas contenidas en la Resolución Técnica N° 6 (Estados contables en moneda homogénea). </w:t>
      </w:r>
    </w:p>
    <w:p w:rsidR="004851C0" w:rsidRPr="004851C0" w:rsidRDefault="004851C0" w:rsidP="004851C0">
      <w:pPr>
        <w:spacing w:after="0" w:line="240" w:lineRule="auto"/>
        <w:jc w:val="both"/>
        <w:rPr>
          <w:rFonts w:ascii="Cambria" w:eastAsia="Times New Roman" w:hAnsi="Cambria" w:cs="Arial"/>
          <w:sz w:val="20"/>
          <w:szCs w:val="20"/>
          <w:lang w:val="es-ES_tradnl" w:eastAsia="es-ES"/>
        </w:rPr>
      </w:pPr>
      <w:r w:rsidRPr="004851C0">
        <w:rPr>
          <w:rFonts w:ascii="Cambria" w:eastAsia="Times New Roman" w:hAnsi="Cambria" w:cs="Arial"/>
          <w:sz w:val="20"/>
          <w:szCs w:val="20"/>
          <w:lang w:val="es-ES_tradnl" w:eastAsia="es-ES"/>
        </w:rPr>
        <w:t>La Resolución Nº 539/18 de la FACPCE aprobada por la Resolución Nº 158/18 del CPCE Corrientes ha resuelto que los presentes estados contables deban ajustarse por inflación, el que se realizará a partir de los ejercicios cerrados a partir del 01/07/2018 para reflejar el efecto de la perdida en el poder adquisitivo de la moneda, lo que producirá un impacto importante en el valor de los activos, pasivos y componentes del patrimonio neto.</w:t>
      </w:r>
    </w:p>
    <w:p w:rsidR="004851C0" w:rsidRPr="004851C0" w:rsidRDefault="004851C0" w:rsidP="004851C0">
      <w:pPr>
        <w:tabs>
          <w:tab w:val="left" w:pos="1276"/>
        </w:tabs>
        <w:spacing w:after="0" w:line="240" w:lineRule="auto"/>
        <w:jc w:val="both"/>
        <w:rPr>
          <w:rFonts w:ascii="Cambria" w:eastAsia="Times New Roman" w:hAnsi="Cambria" w:cs="Times New Roman"/>
          <w:b/>
          <w:sz w:val="20"/>
          <w:szCs w:val="20"/>
          <w:lang w:val="es-ES_tradnl" w:eastAsia="es-ES"/>
        </w:rPr>
      </w:pPr>
    </w:p>
    <w:p w:rsidR="004851C0" w:rsidRPr="004851C0" w:rsidRDefault="004851C0" w:rsidP="004851C0">
      <w:pPr>
        <w:tabs>
          <w:tab w:val="left" w:pos="1276"/>
        </w:tabs>
        <w:spacing w:after="0" w:line="240" w:lineRule="auto"/>
        <w:jc w:val="both"/>
        <w:rPr>
          <w:rFonts w:ascii="Cambria" w:eastAsia="Times New Roman" w:hAnsi="Cambria" w:cs="Times New Roman"/>
          <w:b/>
          <w:sz w:val="20"/>
          <w:szCs w:val="20"/>
          <w:lang w:val="es-ES_tradnl" w:eastAsia="es-ES"/>
        </w:rPr>
      </w:pPr>
      <w:r w:rsidRPr="004851C0">
        <w:rPr>
          <w:rFonts w:ascii="Cambria" w:eastAsia="Times New Roman" w:hAnsi="Cambria" w:cs="Times New Roman"/>
          <w:b/>
          <w:sz w:val="20"/>
          <w:szCs w:val="20"/>
          <w:lang w:val="es-ES_tradnl" w:eastAsia="es-ES"/>
        </w:rPr>
        <w:t>Estimaciones contables</w:t>
      </w:r>
    </w:p>
    <w:p w:rsidR="004851C0" w:rsidRPr="004851C0" w:rsidRDefault="004851C0" w:rsidP="004851C0">
      <w:pPr>
        <w:tabs>
          <w:tab w:val="left" w:pos="1276"/>
        </w:tabs>
        <w:spacing w:after="0" w:line="240" w:lineRule="auto"/>
        <w:jc w:val="both"/>
        <w:rPr>
          <w:rFonts w:ascii="Cambria" w:eastAsia="Times New Roman" w:hAnsi="Cambria" w:cs="Times New Roman"/>
          <w:sz w:val="20"/>
          <w:szCs w:val="20"/>
          <w:lang w:val="es-ES_tradnl" w:eastAsia="es-ES"/>
        </w:rPr>
      </w:pPr>
      <w:r w:rsidRPr="004851C0">
        <w:rPr>
          <w:rFonts w:ascii="Cambria" w:eastAsia="Times New Roman" w:hAnsi="Cambria" w:cs="Times New Roman"/>
          <w:sz w:val="20"/>
          <w:szCs w:val="20"/>
          <w:lang w:val="es-ES_tradnl" w:eastAsia="es-ES"/>
        </w:rPr>
        <w:t xml:space="preserve">La preparación de estados contables a una fecha determinada requiere que la administración de la entidad realice estimaciones y evaluaciones que afectan el monto de los activos y pasivos registrados, y de los activos y pasivos contingentes determinados a la fecha de emisión de los presentes estados contables, como así también de los ingresos y egresos registrados en el ejercicio. La dirección de </w:t>
      </w:r>
      <w:smartTag w:uri="urn:schemas-microsoft-com:office:smarttags" w:element="PersonName">
        <w:smartTagPr>
          <w:attr w:name="ProductID" w:val="la Sociedad"/>
        </w:smartTagPr>
        <w:r w:rsidRPr="004851C0">
          <w:rPr>
            <w:rFonts w:ascii="Cambria" w:eastAsia="Times New Roman" w:hAnsi="Cambria" w:cs="Times New Roman"/>
            <w:sz w:val="20"/>
            <w:szCs w:val="20"/>
            <w:lang w:val="es-ES_tradnl" w:eastAsia="es-ES"/>
          </w:rPr>
          <w:t>la Sociedad</w:t>
        </w:r>
      </w:smartTag>
      <w:r w:rsidRPr="004851C0">
        <w:rPr>
          <w:rFonts w:ascii="Cambria" w:eastAsia="Times New Roman" w:hAnsi="Cambria" w:cs="Times New Roman"/>
          <w:sz w:val="20"/>
          <w:szCs w:val="20"/>
          <w:lang w:val="es-ES_tradnl" w:eastAsia="es-ES"/>
        </w:rPr>
        <w:t xml:space="preserve"> realiza estimaciones para poder calcular a un momento dado, por ejemplo: la previsión para preavisos y despidos, las depreciaciones, el valor recuperable de los activos no corrientes. Los resultados reales futuros pueden diferir de las estimaciones y evaluaciones realizadas a la fecha de preparación de los presentes estados contables.</w:t>
      </w:r>
    </w:p>
    <w:p w:rsidR="004851C0" w:rsidRPr="004851C0" w:rsidRDefault="004851C0" w:rsidP="004851C0">
      <w:pPr>
        <w:keepNext/>
        <w:tabs>
          <w:tab w:val="left" w:pos="1276"/>
        </w:tabs>
        <w:spacing w:after="0" w:line="240" w:lineRule="auto"/>
        <w:jc w:val="both"/>
        <w:outlineLvl w:val="1"/>
        <w:rPr>
          <w:rFonts w:ascii="Cambria" w:eastAsia="Times New Roman" w:hAnsi="Cambria" w:cs="Times New Roman"/>
          <w:b/>
          <w:sz w:val="20"/>
          <w:szCs w:val="20"/>
          <w:lang w:val="es-ES_tradnl" w:eastAsia="es-ES"/>
        </w:rPr>
      </w:pPr>
    </w:p>
    <w:p w:rsidR="004851C0" w:rsidRPr="004851C0" w:rsidRDefault="004851C0" w:rsidP="004851C0">
      <w:pPr>
        <w:keepNext/>
        <w:tabs>
          <w:tab w:val="left" w:pos="1276"/>
        </w:tabs>
        <w:spacing w:after="0" w:line="240" w:lineRule="auto"/>
        <w:jc w:val="both"/>
        <w:outlineLvl w:val="1"/>
        <w:rPr>
          <w:rFonts w:ascii="Cambria" w:eastAsia="Times New Roman" w:hAnsi="Cambria" w:cs="Times New Roman"/>
          <w:b/>
          <w:sz w:val="20"/>
          <w:szCs w:val="20"/>
          <w:lang w:val="es-ES_tradnl" w:eastAsia="es-ES"/>
        </w:rPr>
      </w:pPr>
      <w:r w:rsidRPr="004851C0">
        <w:rPr>
          <w:rFonts w:ascii="Cambria" w:eastAsia="Times New Roman" w:hAnsi="Cambria" w:cs="Times New Roman"/>
          <w:b/>
          <w:sz w:val="20"/>
          <w:szCs w:val="20"/>
          <w:lang w:val="es-ES_tradnl" w:eastAsia="es-ES"/>
        </w:rPr>
        <w:t>Información comparativa</w:t>
      </w:r>
    </w:p>
    <w:p w:rsidR="004851C0" w:rsidRPr="004851C0" w:rsidRDefault="004851C0" w:rsidP="0031464C">
      <w:pPr>
        <w:spacing w:after="0" w:line="240" w:lineRule="auto"/>
        <w:jc w:val="both"/>
        <w:rPr>
          <w:rFonts w:ascii="Cambria" w:eastAsia="Times New Roman" w:hAnsi="Cambria" w:cs="Times New Roman"/>
          <w:sz w:val="20"/>
          <w:szCs w:val="20"/>
          <w:lang w:val="es-ES_tradnl" w:eastAsia="es-ES"/>
        </w:rPr>
      </w:pPr>
      <w:r w:rsidRPr="004851C0">
        <w:rPr>
          <w:rFonts w:ascii="Cambria" w:eastAsia="Times New Roman" w:hAnsi="Cambria" w:cs="Times New Roman"/>
          <w:sz w:val="20"/>
          <w:szCs w:val="20"/>
          <w:lang w:val="es-ES_tradnl" w:eastAsia="es-ES"/>
        </w:rPr>
        <w:t>Las cifras correspondientes al periodo anterior presentado a efectos comparativos se exponen en moneda homogénea de la fecha de cierre de los presentes Estados contables, por lo cual una vez determinadas en moneda de cierre del ejercicio anterior todas las partidas y toda la información numérica de las notas y anexos han sido reexpresadas multiplicando por el coeficiente de represión anual.</w:t>
      </w:r>
    </w:p>
    <w:p w:rsidR="0031464C" w:rsidRDefault="0031464C" w:rsidP="004851C0">
      <w:pPr>
        <w:spacing w:after="0" w:line="240" w:lineRule="auto"/>
        <w:jc w:val="both"/>
        <w:rPr>
          <w:rFonts w:ascii="Cambria" w:eastAsia="Times New Roman" w:hAnsi="Cambria" w:cs="Times New Roman"/>
          <w:b/>
          <w:sz w:val="20"/>
          <w:szCs w:val="20"/>
          <w:lang w:val="es-ES_tradnl" w:eastAsia="es-ES"/>
        </w:rPr>
      </w:pPr>
    </w:p>
    <w:p w:rsidR="004851C0" w:rsidRPr="004851C0" w:rsidRDefault="004851C0" w:rsidP="004851C0">
      <w:pPr>
        <w:spacing w:after="0" w:line="240" w:lineRule="auto"/>
        <w:jc w:val="both"/>
        <w:rPr>
          <w:rFonts w:ascii="Cambria" w:eastAsia="Times New Roman" w:hAnsi="Cambria" w:cs="Times New Roman"/>
          <w:b/>
          <w:sz w:val="20"/>
          <w:szCs w:val="20"/>
          <w:lang w:val="es-ES_tradnl" w:eastAsia="es-ES"/>
        </w:rPr>
      </w:pPr>
      <w:r w:rsidRPr="004851C0">
        <w:rPr>
          <w:rFonts w:ascii="Cambria" w:eastAsia="Times New Roman" w:hAnsi="Cambria" w:cs="Times New Roman"/>
          <w:b/>
          <w:sz w:val="20"/>
          <w:szCs w:val="20"/>
          <w:lang w:val="es-ES_tradnl" w:eastAsia="es-ES"/>
        </w:rPr>
        <w:t xml:space="preserve">CRITERIOS DE VALUACIÓN </w:t>
      </w:r>
    </w:p>
    <w:p w:rsidR="004851C0" w:rsidRPr="004851C0" w:rsidRDefault="004851C0" w:rsidP="0031464C">
      <w:pPr>
        <w:spacing w:after="0" w:line="240" w:lineRule="auto"/>
        <w:jc w:val="both"/>
        <w:rPr>
          <w:rFonts w:ascii="Cambria" w:eastAsia="Times New Roman" w:hAnsi="Cambria" w:cs="Times New Roman"/>
          <w:sz w:val="20"/>
          <w:szCs w:val="20"/>
          <w:lang w:val="es-ES_tradnl" w:eastAsia="es-ES"/>
        </w:rPr>
      </w:pPr>
      <w:r w:rsidRPr="004851C0">
        <w:rPr>
          <w:rFonts w:ascii="Cambria" w:eastAsia="Times New Roman" w:hAnsi="Cambria" w:cs="Times New Roman"/>
          <w:sz w:val="20"/>
          <w:szCs w:val="20"/>
          <w:lang w:val="es-ES_tradnl" w:eastAsia="es-ES"/>
        </w:rPr>
        <w:t xml:space="preserve">Se ha optado por los criterios de valuación </w:t>
      </w:r>
      <w:r w:rsidR="00CA657F">
        <w:rPr>
          <w:rFonts w:ascii="Cambria" w:eastAsia="Times New Roman" w:hAnsi="Cambria" w:cs="Times New Roman"/>
          <w:sz w:val="20"/>
          <w:szCs w:val="20"/>
          <w:lang w:val="es-ES_tradnl" w:eastAsia="es-ES"/>
        </w:rPr>
        <w:t>de la resolución técnica Nº 41</w:t>
      </w:r>
      <w:r w:rsidR="0031464C" w:rsidRPr="0031464C">
        <w:rPr>
          <w:rFonts w:ascii="Cambria" w:eastAsia="Times New Roman" w:hAnsi="Cambria" w:cs="Times New Roman"/>
          <w:sz w:val="20"/>
          <w:szCs w:val="20"/>
          <w:lang w:val="es-ES_tradnl" w:eastAsia="es-ES"/>
        </w:rPr>
        <w:t xml:space="preserve">. </w:t>
      </w:r>
    </w:p>
    <w:p w:rsidR="004851C0" w:rsidRPr="004851C0" w:rsidRDefault="0031464C" w:rsidP="004851C0">
      <w:pPr>
        <w:spacing w:after="0" w:line="240" w:lineRule="auto"/>
        <w:jc w:val="both"/>
        <w:rPr>
          <w:rFonts w:ascii="Cambria" w:eastAsia="Times New Roman" w:hAnsi="Cambria" w:cs="Times New Roman"/>
          <w:sz w:val="20"/>
          <w:szCs w:val="20"/>
          <w:lang w:val="es-ES_tradnl" w:eastAsia="es-ES"/>
        </w:rPr>
      </w:pPr>
      <w:r w:rsidRPr="0031464C">
        <w:rPr>
          <w:rFonts w:ascii="Cambria" w:eastAsia="Times New Roman" w:hAnsi="Cambria" w:cs="Times New Roman"/>
          <w:sz w:val="20"/>
          <w:szCs w:val="20"/>
          <w:lang w:val="es-ES_tradnl" w:eastAsia="es-ES"/>
        </w:rPr>
        <w:t>De</w:t>
      </w:r>
      <w:r w:rsidR="004851C0" w:rsidRPr="004851C0">
        <w:rPr>
          <w:rFonts w:ascii="Cambria" w:eastAsia="Times New Roman" w:hAnsi="Cambria" w:cs="Times New Roman"/>
          <w:sz w:val="20"/>
          <w:szCs w:val="20"/>
          <w:lang w:val="es-ES_tradnl" w:eastAsia="es-ES"/>
        </w:rPr>
        <w:t xml:space="preserve"> acuerdo con las siguientes pautas:</w:t>
      </w:r>
    </w:p>
    <w:p w:rsidR="004851C0" w:rsidRPr="004851C0" w:rsidRDefault="004851C0" w:rsidP="004851C0">
      <w:pPr>
        <w:spacing w:after="0" w:line="240" w:lineRule="auto"/>
        <w:jc w:val="both"/>
        <w:rPr>
          <w:rFonts w:ascii="Cambria" w:eastAsia="Times New Roman" w:hAnsi="Cambria" w:cs="Times New Roman"/>
          <w:b/>
          <w:sz w:val="20"/>
          <w:szCs w:val="20"/>
          <w:lang w:val="es-ES_tradnl" w:eastAsia="es-ES"/>
        </w:rPr>
      </w:pPr>
    </w:p>
    <w:p w:rsidR="004851C0" w:rsidRPr="00CA657F" w:rsidRDefault="004851C0" w:rsidP="00CA657F">
      <w:pPr>
        <w:pStyle w:val="Prrafodelista"/>
        <w:numPr>
          <w:ilvl w:val="0"/>
          <w:numId w:val="5"/>
        </w:numPr>
        <w:spacing w:after="0" w:line="240" w:lineRule="auto"/>
        <w:jc w:val="both"/>
        <w:rPr>
          <w:rFonts w:ascii="Cambria" w:eastAsia="Times New Roman" w:hAnsi="Cambria" w:cs="Times New Roman"/>
          <w:sz w:val="20"/>
          <w:szCs w:val="20"/>
          <w:lang w:val="es-ES_tradnl" w:eastAsia="es-ES"/>
        </w:rPr>
      </w:pPr>
      <w:r w:rsidRPr="00CA657F">
        <w:rPr>
          <w:rFonts w:ascii="Cambria" w:eastAsia="Times New Roman" w:hAnsi="Cambria" w:cs="Times New Roman"/>
          <w:b/>
          <w:sz w:val="20"/>
          <w:szCs w:val="20"/>
          <w:lang w:val="es-ES_tradnl" w:eastAsia="es-ES"/>
        </w:rPr>
        <w:t xml:space="preserve">Caja y bancos. </w:t>
      </w:r>
      <w:r w:rsidRPr="00CA657F">
        <w:rPr>
          <w:rFonts w:ascii="Cambria" w:eastAsia="Times New Roman" w:hAnsi="Cambria" w:cs="Times New Roman"/>
          <w:sz w:val="20"/>
          <w:szCs w:val="20"/>
          <w:lang w:val="es-ES_tradnl" w:eastAsia="es-ES"/>
        </w:rPr>
        <w:t>El efectivo disponible se ha computado a su valor nominal</w:t>
      </w:r>
      <w:r w:rsidR="00F70F14" w:rsidRPr="00CA657F">
        <w:rPr>
          <w:rFonts w:ascii="Cambria" w:eastAsia="Times New Roman" w:hAnsi="Cambria" w:cs="Times New Roman"/>
          <w:sz w:val="20"/>
          <w:szCs w:val="20"/>
          <w:lang w:val="es-ES_tradnl" w:eastAsia="es-ES"/>
        </w:rPr>
        <w:t>.</w:t>
      </w:r>
      <w:r w:rsidR="00F70F14" w:rsidRPr="00CA657F">
        <w:rPr>
          <w:rFonts w:ascii="Cambria" w:hAnsi="Cambria"/>
          <w:sz w:val="20"/>
          <w:szCs w:val="20"/>
        </w:rPr>
        <w:t xml:space="preserve"> </w:t>
      </w:r>
      <w:r w:rsidR="00F70F14" w:rsidRPr="00CA657F">
        <w:rPr>
          <w:rFonts w:ascii="Cambria" w:eastAsia="Times New Roman" w:hAnsi="Cambria" w:cs="Times New Roman"/>
          <w:sz w:val="20"/>
          <w:szCs w:val="20"/>
          <w:lang w:val="es-ES_tradnl" w:eastAsia="es-ES"/>
        </w:rPr>
        <w:t>La moneda extranjera se encuentra valuada al tipo de cambio comprador del Banco de la Nación Argentina a la fecha de cierre.</w:t>
      </w:r>
    </w:p>
    <w:p w:rsidR="00B21A5C" w:rsidRDefault="00B21A5C" w:rsidP="00B21A5C">
      <w:pPr>
        <w:pStyle w:val="Prrafodelista"/>
        <w:numPr>
          <w:ilvl w:val="0"/>
          <w:numId w:val="5"/>
        </w:numPr>
        <w:spacing w:after="0" w:line="240" w:lineRule="auto"/>
        <w:jc w:val="both"/>
        <w:rPr>
          <w:rFonts w:ascii="Cambria" w:eastAsia="Times New Roman" w:hAnsi="Cambria" w:cs="Times New Roman"/>
          <w:sz w:val="20"/>
          <w:szCs w:val="20"/>
          <w:lang w:val="es-ES_tradnl" w:eastAsia="es-ES"/>
        </w:rPr>
      </w:pPr>
      <w:r w:rsidRPr="00B21A5C">
        <w:rPr>
          <w:rFonts w:ascii="Cambria" w:eastAsia="Times New Roman" w:hAnsi="Cambria" w:cs="Times New Roman"/>
          <w:b/>
          <w:sz w:val="20"/>
          <w:szCs w:val="20"/>
          <w:lang w:val="es-ES_tradnl" w:eastAsia="es-ES"/>
        </w:rPr>
        <w:t>Inversiones</w:t>
      </w:r>
      <w:r>
        <w:rPr>
          <w:rFonts w:ascii="Cambria" w:eastAsia="Times New Roman" w:hAnsi="Cambria" w:cs="Times New Roman"/>
          <w:sz w:val="20"/>
          <w:szCs w:val="20"/>
          <w:lang w:val="es-ES_tradnl" w:eastAsia="es-ES"/>
        </w:rPr>
        <w:t xml:space="preserve">: </w:t>
      </w:r>
      <w:r w:rsidR="00CA657F" w:rsidRPr="00CA657F">
        <w:rPr>
          <w:rFonts w:ascii="Cambria" w:eastAsia="Times New Roman" w:hAnsi="Cambria" w:cs="Times New Roman"/>
          <w:sz w:val="20"/>
          <w:szCs w:val="20"/>
          <w:lang w:val="es-ES_tradnl" w:eastAsia="es-ES"/>
        </w:rPr>
        <w:t>Se medirán a su valor neto de realización.</w:t>
      </w:r>
    </w:p>
    <w:p w:rsidR="00B21A5C" w:rsidRDefault="004851C0" w:rsidP="00B21A5C">
      <w:pPr>
        <w:pStyle w:val="Prrafodelista"/>
        <w:numPr>
          <w:ilvl w:val="0"/>
          <w:numId w:val="5"/>
        </w:numPr>
        <w:spacing w:after="0" w:line="240" w:lineRule="auto"/>
        <w:jc w:val="both"/>
        <w:rPr>
          <w:rFonts w:ascii="Cambria" w:eastAsia="Times New Roman" w:hAnsi="Cambria" w:cs="Times New Roman"/>
          <w:sz w:val="20"/>
          <w:szCs w:val="20"/>
          <w:lang w:val="es-ES_tradnl" w:eastAsia="es-ES"/>
        </w:rPr>
      </w:pPr>
      <w:r w:rsidRPr="00B21A5C">
        <w:rPr>
          <w:rFonts w:ascii="Cambria" w:eastAsia="Times New Roman" w:hAnsi="Cambria" w:cs="Times New Roman"/>
          <w:b/>
          <w:sz w:val="20"/>
          <w:szCs w:val="20"/>
          <w:lang w:val="es-ES_tradnl" w:eastAsia="es-ES"/>
        </w:rPr>
        <w:t xml:space="preserve">Créditos por servicios y </w:t>
      </w:r>
      <w:r w:rsidR="00B21A5C" w:rsidRPr="00B21A5C">
        <w:rPr>
          <w:rFonts w:ascii="Cambria" w:eastAsia="Times New Roman" w:hAnsi="Cambria" w:cs="Times New Roman"/>
          <w:b/>
          <w:sz w:val="20"/>
          <w:szCs w:val="20"/>
          <w:lang w:val="es-ES_tradnl" w:eastAsia="es-ES"/>
        </w:rPr>
        <w:t>deudas</w:t>
      </w:r>
      <w:r w:rsidRPr="00B21A5C">
        <w:rPr>
          <w:rFonts w:ascii="Cambria" w:eastAsia="Times New Roman" w:hAnsi="Cambria" w:cs="Times New Roman"/>
          <w:b/>
          <w:sz w:val="20"/>
          <w:szCs w:val="20"/>
          <w:lang w:val="es-ES_tradnl" w:eastAsia="es-ES"/>
        </w:rPr>
        <w:t xml:space="preserve">.  </w:t>
      </w:r>
      <w:r w:rsidR="00B21A5C" w:rsidRPr="00B21A5C">
        <w:rPr>
          <w:rFonts w:ascii="Cambria" w:eastAsia="Times New Roman" w:hAnsi="Cambria" w:cs="Times New Roman"/>
          <w:sz w:val="20"/>
          <w:szCs w:val="20"/>
          <w:lang w:val="es-ES_tradnl" w:eastAsia="es-ES"/>
        </w:rPr>
        <w:t>Los créditos y pasivos han sido valuados a su valor nominal,</w:t>
      </w:r>
      <w:r w:rsidR="00B21A5C">
        <w:rPr>
          <w:rFonts w:ascii="Cambria" w:eastAsia="Times New Roman" w:hAnsi="Cambria" w:cs="Times New Roman"/>
          <w:sz w:val="20"/>
          <w:szCs w:val="20"/>
          <w:lang w:val="es-ES_tradnl" w:eastAsia="es-ES"/>
        </w:rPr>
        <w:t xml:space="preserve"> </w:t>
      </w:r>
      <w:r w:rsidR="00B21A5C" w:rsidRPr="00B21A5C">
        <w:rPr>
          <w:rFonts w:ascii="Cambria" w:eastAsia="Times New Roman" w:hAnsi="Cambria" w:cs="Times New Roman"/>
          <w:sz w:val="20"/>
          <w:szCs w:val="20"/>
          <w:lang w:val="es-ES_tradnl" w:eastAsia="es-ES"/>
        </w:rPr>
        <w:t>agregando o deduciendo los resultados financieros correspondientes.</w:t>
      </w:r>
    </w:p>
    <w:p w:rsidR="00B21A5C" w:rsidRPr="00B21A5C" w:rsidRDefault="004851C0" w:rsidP="00B21A5C">
      <w:pPr>
        <w:pStyle w:val="Prrafodelista"/>
        <w:numPr>
          <w:ilvl w:val="0"/>
          <w:numId w:val="5"/>
        </w:numPr>
        <w:spacing w:after="0" w:line="240" w:lineRule="auto"/>
        <w:jc w:val="both"/>
        <w:rPr>
          <w:rFonts w:ascii="Cambria" w:eastAsia="Times New Roman" w:hAnsi="Cambria" w:cs="Times New Roman"/>
          <w:sz w:val="20"/>
          <w:szCs w:val="20"/>
          <w:lang w:val="es-ES_tradnl" w:eastAsia="es-ES"/>
        </w:rPr>
      </w:pPr>
      <w:r w:rsidRPr="00B21A5C">
        <w:rPr>
          <w:rFonts w:ascii="Cambria" w:eastAsia="Times New Roman" w:hAnsi="Cambria" w:cs="Times New Roman"/>
          <w:b/>
          <w:sz w:val="20"/>
          <w:szCs w:val="20"/>
          <w:lang w:val="es-ES_tradnl" w:eastAsia="es-ES"/>
        </w:rPr>
        <w:t xml:space="preserve">Bienes de Cambio:  </w:t>
      </w:r>
      <w:r w:rsidRPr="00B21A5C">
        <w:rPr>
          <w:rFonts w:ascii="Cambria" w:eastAsia="Times New Roman" w:hAnsi="Cambria" w:cs="Times New Roman"/>
          <w:sz w:val="20"/>
          <w:szCs w:val="20"/>
          <w:lang w:val="es-ES_tradnl" w:eastAsia="es-ES"/>
        </w:rPr>
        <w:t>Los bienes de cambio han sido valuados a su costo de reposición.</w:t>
      </w:r>
      <w:r w:rsidRPr="00B21A5C">
        <w:rPr>
          <w:rFonts w:ascii="Cambria" w:eastAsia="Times New Roman" w:hAnsi="Cambria" w:cs="Times New Roman"/>
          <w:b/>
          <w:sz w:val="20"/>
          <w:szCs w:val="20"/>
          <w:lang w:val="es-ES_tradnl" w:eastAsia="es-ES"/>
        </w:rPr>
        <w:t xml:space="preserve"> </w:t>
      </w:r>
    </w:p>
    <w:p w:rsidR="004851C0" w:rsidRPr="00B21A5C" w:rsidRDefault="004851C0" w:rsidP="00B21A5C">
      <w:pPr>
        <w:pStyle w:val="Prrafodelista"/>
        <w:numPr>
          <w:ilvl w:val="0"/>
          <w:numId w:val="5"/>
        </w:numPr>
        <w:spacing w:after="0" w:line="240" w:lineRule="auto"/>
        <w:jc w:val="both"/>
        <w:rPr>
          <w:rFonts w:ascii="Cambria" w:eastAsia="Times New Roman" w:hAnsi="Cambria" w:cs="Times New Roman"/>
          <w:sz w:val="20"/>
          <w:szCs w:val="20"/>
          <w:lang w:val="es-ES_tradnl" w:eastAsia="es-ES"/>
        </w:rPr>
      </w:pPr>
      <w:r w:rsidRPr="00B21A5C">
        <w:rPr>
          <w:rFonts w:ascii="Cambria" w:hAnsi="Cambria"/>
          <w:b/>
          <w:sz w:val="20"/>
          <w:szCs w:val="20"/>
        </w:rPr>
        <w:t>Bienes de Uso:</w:t>
      </w:r>
      <w:r w:rsidRPr="00B21A5C">
        <w:rPr>
          <w:rFonts w:ascii="Cambria" w:hAnsi="Cambria"/>
          <w:sz w:val="20"/>
          <w:szCs w:val="20"/>
        </w:rPr>
        <w:t xml:space="preserve"> </w:t>
      </w:r>
      <w:r w:rsidRPr="00B21A5C">
        <w:rPr>
          <w:rFonts w:ascii="Cambria" w:hAnsi="Cambria" w:cs="Arial"/>
          <w:sz w:val="20"/>
          <w:szCs w:val="20"/>
        </w:rPr>
        <w:t>Los bienes de uso fueron valuados a su precio de costo reexpresado menos las amortizaciones acumuladas reexpresadas a esa fecha. La valuación de los mismos no supera en conjunto su valor recuperable en el estado en que se encuentran. Para amortizar dichos bienes se utilizó el método de amortización lineal.</w:t>
      </w:r>
    </w:p>
    <w:sectPr w:rsidR="004851C0" w:rsidRPr="00B21A5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8538D"/>
    <w:multiLevelType w:val="hybridMultilevel"/>
    <w:tmpl w:val="62CE0A94"/>
    <w:lvl w:ilvl="0" w:tplc="2C0A0017">
      <w:start w:val="1"/>
      <w:numFmt w:val="lowerLetter"/>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4D020CCE"/>
    <w:multiLevelType w:val="hybridMultilevel"/>
    <w:tmpl w:val="850EC872"/>
    <w:lvl w:ilvl="0" w:tplc="2C0A0017">
      <w:start w:val="2"/>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58033463"/>
    <w:multiLevelType w:val="hybridMultilevel"/>
    <w:tmpl w:val="F61E880E"/>
    <w:lvl w:ilvl="0" w:tplc="3D2AEF1E">
      <w:start w:val="1"/>
      <w:numFmt w:val="lowerLetter"/>
      <w:lvlText w:val="%1)"/>
      <w:lvlJc w:val="left"/>
      <w:pPr>
        <w:ind w:left="360" w:hanging="360"/>
      </w:pPr>
      <w:rPr>
        <w:rFonts w:hint="default"/>
        <w:b/>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3">
    <w:nsid w:val="7048372B"/>
    <w:multiLevelType w:val="hybridMultilevel"/>
    <w:tmpl w:val="E8B2B614"/>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74DE3C1E"/>
    <w:multiLevelType w:val="hybridMultilevel"/>
    <w:tmpl w:val="ADF88E64"/>
    <w:lvl w:ilvl="0" w:tplc="2EA00984">
      <w:start w:val="1"/>
      <w:numFmt w:val="lowerLetter"/>
      <w:lvlText w:val="%1)"/>
      <w:lvlJc w:val="left"/>
      <w:pPr>
        <w:ind w:left="360" w:hanging="360"/>
      </w:pPr>
      <w:rPr>
        <w:rFonts w:hint="default"/>
        <w:b/>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1C0"/>
    <w:rsid w:val="0031464C"/>
    <w:rsid w:val="004851C0"/>
    <w:rsid w:val="009A5F00"/>
    <w:rsid w:val="00B21A5C"/>
    <w:rsid w:val="00C83928"/>
    <w:rsid w:val="00CA657F"/>
    <w:rsid w:val="00E67304"/>
    <w:rsid w:val="00F70F14"/>
    <w:rsid w:val="00F72D9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851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851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577</Words>
  <Characters>3175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3745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Luffi</cp:lastModifiedBy>
  <cp:revision>2</cp:revision>
  <dcterms:created xsi:type="dcterms:W3CDTF">2021-12-28T15:12:00Z</dcterms:created>
  <dcterms:modified xsi:type="dcterms:W3CDTF">2021-12-28T15:12:00Z</dcterms:modified>
</cp:coreProperties>
</file>